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9C81B">
      <w:pPr>
        <w:spacing w:after="0" w:line="360" w:lineRule="auto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5506448E">
      <w:pPr>
        <w:spacing w:after="0" w:line="360" w:lineRule="auto"/>
        <w:outlineLvl w:val="2"/>
        <w:rPr>
          <w:rFonts w:ascii="Century Gothic" w:hAnsi="Century Gothic"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 w:val="32"/>
          <w:szCs w:val="32"/>
          <w14:ligatures w14:val="none"/>
        </w:rPr>
        <w:t>Future Leaders Challenge East Africa 2025</w:t>
      </w:r>
    </w:p>
    <w:p w14:paraId="6C80EFCC">
      <w:pPr>
        <w:spacing w:after="0" w:line="360" w:lineRule="auto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 w:val="28"/>
          <w:szCs w:val="28"/>
          <w14:ligatures w14:val="none"/>
        </w:rPr>
        <w:t>28–29 April 2025 | Strathmore University, Nairobi, Kenya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br w:type="textWrapping"/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Theme: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Towards a Sustainable Human Capital Strategy for Hospitality and Tourism in East Africa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br w:type="textWrapping"/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Patron: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Hon. Rebecca Miano, EGH, Cabinet Secretary for Tourism and Wildlife</w:t>
      </w:r>
    </w:p>
    <w:p w14:paraId="297C5AC0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B2321F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Introduction</w:t>
      </w:r>
    </w:p>
    <w:p w14:paraId="293995D9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The inaugural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Future Leaders Challenge East Africa 2025 (FLCEA25)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held from April 28–29, 2025, at Strathmore University, marked a pivotal moment for regional tourism development. Under the theme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“Towards a Sustainable Human Capital Strategy for Hospitality and Tourism in East Africa”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, the event convened over 200 participants from Kenya, Tanzania, Uganda, and Rwanda — including students, educators, policymakers, and industry leaders.</w:t>
      </w:r>
    </w:p>
    <w:p w14:paraId="5B4EA71F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</w:p>
    <w:p w14:paraId="21365D5B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A joint initiative by the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Global Tourism Resilience and Crisis Management Centre – Eastern Africa (GTRCMC-EA)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Kenyatta University, under the Ministry of Tourism and Wildlife, in partnership with the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East Africa Future Leaders Challenge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Strathmore University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and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Boma College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, the event aimed to close the skills gap in hospitality and tourism. It emphasized aligning education with industry demands and fostering long-term, multi-stakeholder collaboration for sustainable sector growth.</w:t>
      </w:r>
    </w:p>
    <w:p w14:paraId="3DA83663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3B54FE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Background</w:t>
      </w:r>
    </w:p>
    <w:p w14:paraId="74389D17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With tourism increasingly shaped by digital innovation, sustainability imperatives, and evolving traveler expectations, FLCEA25 addressed the urgent need to re</w:t>
      </w:r>
      <w:r>
        <w:rPr>
          <w:rFonts w:hint="default" w:ascii="Century Gothic" w:hAnsi="Century Gothic" w:eastAsia="Times New Roman" w:cs="Times New Roman"/>
          <w:kern w:val="0"/>
          <w:szCs w:val="24"/>
          <w:lang w:val="en-US"/>
          <w14:ligatures w14:val="none"/>
        </w:rPr>
        <w:t>-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calibrate human capital strategies. It provided a strategic platform to bridge the gap between academic theory and practical industry requirements, preparing a future-ready workforce.</w:t>
      </w:r>
    </w:p>
    <w:p w14:paraId="3AEF6F45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As part of a global initiative, the event culminated in the selection of three winning institutions that will represent East Africa at the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Global Finals in Dubai (2026)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— showcasing regional talent and innovation on a global stage.</w:t>
      </w:r>
    </w:p>
    <w:p w14:paraId="0E8C83E9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AD2CF4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Key Components</w:t>
      </w:r>
    </w:p>
    <w:p w14:paraId="67983AC5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1. Student Challenge</w:t>
      </w:r>
    </w:p>
    <w:p w14:paraId="71A26607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Multidisciplinary student teams developed and pitched solutions to real-world challenges in tourism and hospitality, focusing on:</w:t>
      </w:r>
    </w:p>
    <w:p w14:paraId="7E310F21">
      <w:pPr>
        <w:numPr>
          <w:ilvl w:val="0"/>
          <w:numId w:val="1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Digital transformation</w:t>
      </w:r>
    </w:p>
    <w:p w14:paraId="3B1E571B">
      <w:pPr>
        <w:numPr>
          <w:ilvl w:val="0"/>
          <w:numId w:val="1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Sustainability</w:t>
      </w:r>
    </w:p>
    <w:p w14:paraId="160072DD">
      <w:pPr>
        <w:numPr>
          <w:ilvl w:val="0"/>
          <w:numId w:val="1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Workforce readiness</w:t>
      </w:r>
    </w:p>
    <w:p w14:paraId="7E996580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2. School Directors’ Alliance (SDA) Summit</w:t>
      </w:r>
    </w:p>
    <w:p w14:paraId="2A4349C6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Key stakeholders from academia, government, and industry met to:</w:t>
      </w:r>
    </w:p>
    <w:p w14:paraId="72720153">
      <w:pPr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Strategize on collaborative talent development</w:t>
      </w:r>
    </w:p>
    <w:p w14:paraId="1AA9C989">
      <w:pPr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Align curricula with labor market needs</w:t>
      </w:r>
    </w:p>
    <w:p w14:paraId="7EA55453">
      <w:pPr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Explore the policy landscape shaping tourism education</w:t>
      </w:r>
    </w:p>
    <w:p w14:paraId="27A0DFE7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BA5C2F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Objectives</w:t>
      </w:r>
    </w:p>
    <w:p w14:paraId="456F6AEA">
      <w:pPr>
        <w:numPr>
          <w:ilvl w:val="0"/>
          <w:numId w:val="3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Assess the impact of digital transformation on the tourism and hospitality workforce</w:t>
      </w:r>
    </w:p>
    <w:p w14:paraId="5E6565CD">
      <w:pPr>
        <w:numPr>
          <w:ilvl w:val="0"/>
          <w:numId w:val="3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Identify skills gaps and promote curricular reform</w:t>
      </w:r>
    </w:p>
    <w:p w14:paraId="72FF5EA8">
      <w:pPr>
        <w:numPr>
          <w:ilvl w:val="0"/>
          <w:numId w:val="3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Foster cross-sector collaboration for sustainable development</w:t>
      </w:r>
    </w:p>
    <w:p w14:paraId="49DF5688">
      <w:pPr>
        <w:numPr>
          <w:ilvl w:val="0"/>
          <w:numId w:val="3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Evaluate tourism policies targeting resilience and multi-destination integration</w:t>
      </w:r>
    </w:p>
    <w:p w14:paraId="180770DB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81460A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 w:val="28"/>
          <w:szCs w:val="28"/>
          <w14:ligatures w14:val="none"/>
        </w:rPr>
        <w:t>Event Highlights</w:t>
      </w:r>
    </w:p>
    <w:p w14:paraId="0E5713F9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Welcome Dinner – 27 April 2025</w:t>
      </w:r>
    </w:p>
    <w:p w14:paraId="093B4AAE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Young changemakers, alongside leaders from academia, policy, and industry, gathered at KICC for a vibrant evening of celebration, connection, and shared purpose. Sponsored by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Hon. Rebecca Miano, EGH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the Cabinet Secretary for Tourism and Wildlife and Patron of the GTRCMC-EA, the dinner marked the start of FLCEA25. Representing the CS,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Mr. Ngari Gituku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delivered her message, highlighting the power of youth in shaping a resilient and dynamic tourism sector: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“The future of tourism is bright — and it starts now.”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</w:t>
      </w:r>
    </w:p>
    <w:p w14:paraId="4ECC4A9C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drawing>
          <wp:inline distT="0" distB="0" distL="0" distR="0">
            <wp:extent cx="5732145" cy="3827145"/>
            <wp:effectExtent l="0" t="0" r="1905" b="1905"/>
            <wp:docPr id="3" name="Picture 3" descr="https://gtrcmc.ku.ac.ke/wp-content/uploads/2025/04/1000298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gtrcmc.ku.ac.ke/wp-content/uploads/2025/04/10002982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2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58AAB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4D340E0B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Opening Ceremony – 28 April 2025</w:t>
      </w:r>
    </w:p>
    <w:p w14:paraId="42AC9CB3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Hon. Miano officially opened the conference, at Strathmore University, calling on youth to lead the industry into a tech-driven, sustainable future. She underscored tourism’s contribution to nearly 10% of Kenya’s GDP, while emphasizing the sector’s untapped potential.</w:t>
      </w:r>
    </w:p>
    <w:p w14:paraId="500AE65B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</w:p>
    <w:p w14:paraId="73044E4C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Dr. Elizabeth Gachenga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, Vice Chancellor of Strathmore University, welcomed participants, reaffirming the university’s commitment to nurturing globally competent leaders in tourism.</w:t>
      </w:r>
    </w:p>
    <w:p w14:paraId="7AC8CC47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</w:p>
    <w:p w14:paraId="596B0FE1">
      <w:pPr>
        <w:spacing w:after="0" w:line="360" w:lineRule="auto"/>
        <w:jc w:val="both"/>
        <w:rPr>
          <w:rFonts w:ascii="Century Gothic" w:hAnsi="Century Gothic"/>
        </w:rPr>
      </w:pPr>
      <w:r>
        <w:rPr>
          <w:rStyle w:val="12"/>
          <w:rFonts w:ascii="Century Gothic" w:hAnsi="Century Gothic"/>
        </w:rPr>
        <w:t>Students’ Empowerment Session and SDA Summit – 28 April 2025</w:t>
      </w:r>
      <w:r>
        <w:rPr>
          <w:rFonts w:ascii="Century Gothic" w:hAnsi="Century Gothic"/>
        </w:rPr>
        <w:br w:type="textWrapping"/>
      </w:r>
      <w:r>
        <w:rPr>
          <w:rFonts w:ascii="Century Gothic" w:hAnsi="Century Gothic"/>
        </w:rPr>
        <w:t xml:space="preserve">The </w:t>
      </w:r>
      <w:r>
        <w:rPr>
          <w:rStyle w:val="12"/>
          <w:rFonts w:ascii="Century Gothic" w:hAnsi="Century Gothic"/>
        </w:rPr>
        <w:t>Students’ Empowerment Session</w:t>
      </w:r>
      <w:r>
        <w:rPr>
          <w:rFonts w:ascii="Century Gothic" w:hAnsi="Century Gothic"/>
        </w:rPr>
        <w:t xml:space="preserve"> focused on inspiring and equipping future leaders by fostering meaningful change and providing them with the tools and resources to realize their full potential. While addressing the students, the </w:t>
      </w:r>
      <w:r>
        <w:rPr>
          <w:rStyle w:val="12"/>
          <w:rFonts w:ascii="Century Gothic" w:hAnsi="Century Gothic"/>
        </w:rPr>
        <w:t>EA FLC Patron, Hon. Rebecca Miano</w:t>
      </w:r>
      <w:r>
        <w:rPr>
          <w:rFonts w:ascii="Century Gothic" w:hAnsi="Century Gothic"/>
        </w:rPr>
        <w:t>, encouraged them to remain resilient by sharing her inspiring career journey.</w:t>
      </w:r>
    </w:p>
    <w:p w14:paraId="516A3ADF">
      <w:pPr>
        <w:spacing w:after="0" w:line="360" w:lineRule="auto"/>
        <w:jc w:val="both"/>
        <w:rPr>
          <w:rFonts w:ascii="Century Gothic" w:hAnsi="Century Gothic"/>
        </w:rPr>
      </w:pPr>
    </w:p>
    <w:p w14:paraId="248D877D">
      <w:pPr>
        <w:spacing w:after="0"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 xml:space="preserve">Held concurrently, the </w:t>
      </w:r>
      <w:r>
        <w:rPr>
          <w:rStyle w:val="12"/>
          <w:rFonts w:ascii="Century Gothic" w:hAnsi="Century Gothic"/>
        </w:rPr>
        <w:t>School Directors’ Alliance (SDA) Summit</w:t>
      </w:r>
      <w:r>
        <w:rPr>
          <w:rFonts w:ascii="Century Gothic" w:hAnsi="Century Gothic"/>
        </w:rPr>
        <w:t xml:space="preserve"> led to the </w:t>
      </w:r>
      <w:r>
        <w:rPr>
          <w:rStyle w:val="12"/>
          <w:rFonts w:ascii="Century Gothic" w:hAnsi="Century Gothic"/>
        </w:rPr>
        <w:t>official launch of the School Directors Alliance for East Africa</w:t>
      </w:r>
      <w:r>
        <w:rPr>
          <w:rFonts w:ascii="Century Gothic" w:hAnsi="Century Gothic"/>
        </w:rPr>
        <w:t xml:space="preserve"> — a unified regional body tasked with leading, coordinating, and advancing sustainable human capital development in the hospitality and tourism sectors.</w:t>
      </w:r>
    </w:p>
    <w:p w14:paraId="7EB456A4">
      <w:pPr>
        <w:pStyle w:val="11"/>
      </w:pPr>
      <w:r>
        <w:drawing>
          <wp:inline distT="0" distB="0" distL="0" distR="0">
            <wp:extent cx="5977890" cy="3987165"/>
            <wp:effectExtent l="0" t="0" r="3810" b="0"/>
            <wp:docPr id="12" name="Picture 12" descr="C:\Users\yoga 7i\OneDrive\Desktop\Desktop files\Future Leaders Challenge\Proposal FLC Kenya Chapter\Photos\Address CS Strathmore big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yoga 7i\OneDrive\Desktop\Desktop files\Future Leaders Challenge\Proposal FLC Kenya Chapter\Photos\Address CS Strathmore bigg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872" cy="39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F0478">
      <w:pPr>
        <w:spacing w:after="0" w:line="360" w:lineRule="auto"/>
        <w:jc w:val="both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Dinner – 28 April 2025</w:t>
      </w:r>
    </w:p>
    <w:p w14:paraId="7182B8EC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Held at Mövenpick Hotel Nairobi, this evening brought together students, partners, and leaders for a second night of shared meals and meaningful conversations. Generously sponsored by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Vision Linens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, the dinner celebrated collaboration and foresight in hospitality development.</w:t>
      </w:r>
    </w:p>
    <w:p w14:paraId="3EFD1784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D985BC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6F89C792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7D029854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0E7BFE72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Student Challenge – 29 April 2025</w:t>
      </w:r>
    </w:p>
    <w:p w14:paraId="45DD0693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Student teams presented bold, forward-thinking solutions</w:t>
      </w:r>
      <w:r>
        <w:rPr>
          <w:rFonts w:hint="default" w:ascii="Century Gothic" w:hAnsi="Century Gothic" w:eastAsia="Times New Roman" w:cs="Times New Roman"/>
          <w:kern w:val="0"/>
          <w:szCs w:val="24"/>
          <w:lang w:val="en-US"/>
          <w14:ligatures w14:val="none"/>
        </w:rPr>
        <w:t>.  The leading projects were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:</w:t>
      </w:r>
    </w:p>
    <w:p w14:paraId="4B5200DB">
      <w:pPr>
        <w:pStyle w:val="18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hint="default" w:ascii="Century Gothic" w:hAnsi="Century Gothic" w:eastAsia="Times New Roman" w:cs="Times New Roman"/>
          <w:b/>
          <w:bCs/>
          <w:kern w:val="0"/>
          <w:szCs w:val="24"/>
          <w:lang w:val="en-US"/>
          <w14:ligatures w14:val="none"/>
        </w:rPr>
        <w:t xml:space="preserve">Position one: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USIU-Africa – Agile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: A digital recruitment platform tailored for hospitality employers.</w:t>
      </w:r>
    </w:p>
    <w:p w14:paraId="23F7A807">
      <w:pPr>
        <w:pStyle w:val="18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hint="default" w:ascii="Century Gothic" w:hAnsi="Century Gothic" w:eastAsia="Times New Roman" w:cs="Times New Roman"/>
          <w:b/>
          <w:bCs/>
          <w:kern w:val="0"/>
          <w:szCs w:val="24"/>
          <w:lang w:val="en-US"/>
          <w14:ligatures w14:val="none"/>
        </w:rPr>
        <w:t xml:space="preserve">Position two: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Strathmore University – Savannah Vision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: A smart tourism solution using drones, EVs, and holograms to enhance visitor experiences.</w:t>
      </w:r>
    </w:p>
    <w:p w14:paraId="6EF5DF8B">
      <w:pPr>
        <w:pStyle w:val="18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hint="default" w:ascii="Century Gothic" w:hAnsi="Century Gothic" w:eastAsia="Times New Roman" w:cs="Times New Roman"/>
          <w:b/>
          <w:bCs/>
          <w:kern w:val="0"/>
          <w:szCs w:val="24"/>
          <w:lang w:val="en-US"/>
          <w14:ligatures w14:val="none"/>
        </w:rPr>
        <w:t xml:space="preserve">Position three: 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Technical University of Kenya – Bthere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: A real-time mobile app connecting tourists to verified local guides.</w:t>
      </w:r>
    </w:p>
    <w:p w14:paraId="698DD0E1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These winning ideas demonstrated the students’ ingenuity, feasibility, and alignment with global tourism trends.</w:t>
      </w:r>
    </w:p>
    <w:p w14:paraId="00932B79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F76B5E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Closing Ceremony</w:t>
      </w:r>
    </w:p>
    <w:p w14:paraId="1B9DE9C3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Mrs. Doreen Katusiime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Permanent Secretary, Uganda Ministry of Tourism and Antiquities, delivered closing remarks, commending the Challenge for giving young professionals a platform to gain practical experience and international exposure: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“As a region, we must continuously build our capacity.”</w:t>
      </w:r>
    </w:p>
    <w:p w14:paraId="141D8D59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C448F4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Expected Outcomes</w:t>
      </w:r>
    </w:p>
    <w:p w14:paraId="212F8645">
      <w:pPr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A regional human capital strategy for hospitality and tourism</w:t>
      </w:r>
    </w:p>
    <w:p w14:paraId="373EBF70">
      <w:pPr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Stronger alignment between government, academia, and industry</w:t>
      </w:r>
    </w:p>
    <w:p w14:paraId="7D42F244">
      <w:pPr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Enhanced policy frameworks on multi-destination tourism, resilience, and workforce readiness</w:t>
      </w:r>
    </w:p>
    <w:p w14:paraId="0C551EF4">
      <w:pPr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A pipeline of skilled youth leaders poised to transform East Africa’s tourism sector</w:t>
      </w:r>
    </w:p>
    <w:p w14:paraId="3891410C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pict>
          <v:rect id="_x0000_i103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400C1B7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3163A063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7B875D9E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786AF9C7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54166E96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Way forward</w:t>
      </w:r>
    </w:p>
    <w:p w14:paraId="156A9329">
      <w:pPr>
        <w:pStyle w:val="18"/>
        <w:numPr>
          <w:ilvl w:val="0"/>
          <w:numId w:val="6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Creation of a</w:t>
      </w: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 xml:space="preserve"> </w:t>
      </w:r>
      <w:r>
        <w:rPr>
          <w:rFonts w:ascii="Century Gothic" w:hAnsi="Century Gothic" w:eastAsia="Times New Roman" w:cs="Times New Roman"/>
          <w:i/>
          <w:iCs/>
          <w:kern w:val="0"/>
          <w:szCs w:val="24"/>
          <w14:ligatures w14:val="none"/>
        </w:rPr>
        <w:t>Sustainable Human Capital Strategy for Hospitality and Tourism in East Africa, whose key components are as follows:</w:t>
      </w:r>
    </w:p>
    <w:p w14:paraId="47E90886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Skills Training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Focus on digital, soft, and green skills.</w:t>
      </w:r>
    </w:p>
    <w:p w14:paraId="51F8CBF4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Industry Linkages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Strengthen internships and mentorships.</w:t>
      </w:r>
    </w:p>
    <w:p w14:paraId="50B53039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Regional Integration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Harmonize qualifications across East Africa.</w:t>
      </w:r>
    </w:p>
    <w:p w14:paraId="5207D9B7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Policy Support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Promote enabling policies for workforce growth.</w:t>
      </w:r>
    </w:p>
    <w:p w14:paraId="1238279C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Youth Empowerment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Boost youth leadership and entrepreneurship.</w:t>
      </w:r>
    </w:p>
    <w:p w14:paraId="46E1840A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Curriculum Alignment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Update programs to match industry demands.</w:t>
      </w:r>
    </w:p>
    <w:p w14:paraId="549356B0">
      <w:pPr>
        <w:pStyle w:val="18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Innovation Commercialization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Support student innovations to market.</w:t>
      </w:r>
    </w:p>
    <w:p w14:paraId="31576054">
      <w:pPr>
        <w:pStyle w:val="18"/>
        <w:numPr>
          <w:ilvl w:val="0"/>
          <w:numId w:val="6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School Directors Alliance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Create an East Africa School Directors Alliance to unite institutions for collaboration and advocacy.</w:t>
      </w:r>
    </w:p>
    <w:p w14:paraId="00173576">
      <w:pPr>
        <w:pStyle w:val="18"/>
        <w:numPr>
          <w:ilvl w:val="0"/>
          <w:numId w:val="6"/>
        </w:num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Monitoring &amp; Evaluation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– Track outcomes for continuous improvement.</w:t>
      </w:r>
    </w:p>
    <w:p w14:paraId="307B0C9B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6BB954C9">
      <w:pPr>
        <w:spacing w:after="0" w:line="360" w:lineRule="auto"/>
        <w:jc w:val="both"/>
        <w:outlineLvl w:val="2"/>
        <w:rPr>
          <w:rFonts w:ascii="Century Gothic" w:hAnsi="Century Gothic" w:cs="Segoe UI"/>
          <w:szCs w:val="24"/>
          <w:shd w:val="clear" w:color="auto" w:fill="FFFFFF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Here is what is ahead on the road to the finals: </w:t>
      </w:r>
    </w:p>
    <w:p w14:paraId="0A07EE03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South Africa – May 5–6, 2025 </w:t>
      </w:r>
      <w:r>
        <w:fldChar w:fldCharType="begin"/>
      </w:r>
      <w:r>
        <w:instrText xml:space="preserve"> HYPERLINK "https://www.linkedin.com/signup/cold-join?session_redirect=https%3A%2F%2Fwww.linkedin.com%2Ffeed%2Fhashtag%2Fflcrsa25&amp;trk=public_post-text"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#FLCRSA25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  <w:r>
        <w:rPr>
          <w:rFonts w:ascii="Century Gothic" w:hAnsi="Century Gothic" w:cs="Segoe UI"/>
          <w:szCs w:val="24"/>
          <w:shd w:val="clear" w:color="auto" w:fill="FFFFFF"/>
        </w:rPr>
        <w:t xml:space="preserve"> </w:t>
      </w:r>
    </w:p>
    <w:p w14:paraId="2E04A94A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Morocco – June 2–3, 2025 </w:t>
      </w:r>
      <w:r>
        <w:fldChar w:fldCharType="begin"/>
      </w:r>
      <w:r>
        <w:instrText xml:space="preserve"> HYPERLINK "https://www.linkedin.com/signup/cold-join?session_redirect=https%3A%2F%2Fwww.linkedin.com%2Ffeed%2Fhashtag%2Fflcmo25&amp;trk=public_post-text"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#FLCMO25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  <w:r>
        <w:rPr>
          <w:rFonts w:ascii="Century Gothic" w:hAnsi="Century Gothic" w:cs="Segoe UI"/>
          <w:szCs w:val="24"/>
          <w:shd w:val="clear" w:color="auto" w:fill="FFFFFF"/>
        </w:rPr>
        <w:t xml:space="preserve"> </w:t>
      </w:r>
    </w:p>
    <w:p w14:paraId="2A4467BE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United Kingdom – June 9–10, 2025 </w:t>
      </w:r>
      <w:r>
        <w:fldChar w:fldCharType="begin"/>
      </w:r>
      <w:r>
        <w:instrText xml:space="preserve"> HYPERLINK "https://www.linkedin.com/signup/cold-join?session_redirect=https%3A%2F%2Fwww.linkedin.com%2Ffeed%2Fhashtag%2Fflcuk25&amp;trk=public_post-text"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#FLCUK25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  <w:r>
        <w:rPr>
          <w:rFonts w:ascii="Century Gothic" w:hAnsi="Century Gothic" w:cs="Segoe UI"/>
          <w:szCs w:val="24"/>
          <w:shd w:val="clear" w:color="auto" w:fill="FFFFFF"/>
        </w:rPr>
        <w:t xml:space="preserve"> </w:t>
      </w:r>
    </w:p>
    <w:p w14:paraId="218776B4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Zimbabwe – August 25–26, 2025 </w:t>
      </w:r>
      <w:r>
        <w:fldChar w:fldCharType="begin"/>
      </w:r>
      <w:r>
        <w:instrText xml:space="preserve"> HYPERLINK "https://www.linkedin.com/signup/cold-join?session_redirect=https%3A%2F%2Fwww.linkedin.com%2Ffeed%2Fhashtag%2Fflczi25&amp;trk=public_post-text"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#FLCZI25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  <w:r>
        <w:rPr>
          <w:rFonts w:ascii="Century Gothic" w:hAnsi="Century Gothic" w:cs="Segoe UI"/>
          <w:szCs w:val="24"/>
          <w:shd w:val="clear" w:color="auto" w:fill="FFFFFF"/>
        </w:rPr>
        <w:t xml:space="preserve"> </w:t>
      </w:r>
    </w:p>
    <w:p w14:paraId="3F988A48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Saudi Arabia – Early October 2025 (dates TBC) </w:t>
      </w:r>
      <w:r>
        <w:fldChar w:fldCharType="begin"/>
      </w:r>
      <w:r>
        <w:instrText xml:space="preserve"> HYPERLINK "https://www.linkedin.com/signup/cold-join?session_redirect=https%3A%2F%2Fwww.linkedin.com%2Ffeed%2Fhashtag%2Fflcksa25&amp;trk=public_post-text"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#FLCKSA25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  <w:r>
        <w:rPr>
          <w:rFonts w:ascii="Century Gothic" w:hAnsi="Century Gothic" w:cs="Segoe UI"/>
          <w:szCs w:val="24"/>
          <w:shd w:val="clear" w:color="auto" w:fill="FFFFFF"/>
        </w:rPr>
        <w:t xml:space="preserve"> </w:t>
      </w:r>
    </w:p>
    <w:p w14:paraId="7B9F6C53">
      <w:pPr>
        <w:pStyle w:val="18"/>
        <w:numPr>
          <w:ilvl w:val="0"/>
          <w:numId w:val="7"/>
        </w:num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cs="Segoe UI"/>
          <w:szCs w:val="24"/>
          <w:shd w:val="clear" w:color="auto" w:fill="FFFFFF"/>
        </w:rPr>
        <w:t xml:space="preserve">Finals | Dubai – January 2026 </w:t>
      </w:r>
      <w:r>
        <w:fldChar w:fldCharType="begin"/>
      </w:r>
      <w:r>
        <w:instrText xml:space="preserve"> HYPERLINK "https://www.linkedin.com/signup/cold-join?session_redirect=https%3A%2F%2Fwww.linkedin.com%2Ffeed%2Fhashtag%2Fflcfinals26&amp;trk=public_post-text" \t "_self" </w:instrText>
      </w:r>
      <w:r>
        <w:fldChar w:fldCharType="separate"/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t>#FLCFinals26</w:t>
      </w:r>
      <w:r>
        <w:rPr>
          <w:rStyle w:val="10"/>
          <w:rFonts w:ascii="Century Gothic" w:hAnsi="Century Gothic" w:cs="Segoe UI"/>
          <w:b/>
          <w:bCs/>
          <w:color w:val="0A66C2"/>
          <w:szCs w:val="24"/>
        </w:rPr>
        <w:fldChar w:fldCharType="end"/>
      </w:r>
    </w:p>
    <w:p w14:paraId="3605BAF6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</w:p>
    <w:p w14:paraId="37792AFF">
      <w:pPr>
        <w:spacing w:after="0" w:line="360" w:lineRule="auto"/>
        <w:jc w:val="both"/>
        <w:outlineLvl w:val="2"/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b/>
          <w:bCs/>
          <w:kern w:val="0"/>
          <w:szCs w:val="24"/>
          <w14:ligatures w14:val="none"/>
        </w:rPr>
        <w:t>Conclusion</w:t>
      </w:r>
    </w:p>
    <w:p w14:paraId="3BD7CA21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The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Future Leaders Challenge East Africa 2025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marks the dawn of a transformative regional movement—one rooted in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innovation, collaboration, and strategic capacity-building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to foster a resilient, future-ready, and inclusive tourism sector. The event effectively laid a strong foundation for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harmonizing education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nurturing top-tier talent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and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reinforcing supportive policy frameworks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 to drive sustainable growth in hospitality and tourism.</w:t>
      </w:r>
    </w:p>
    <w:p w14:paraId="58887524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</w:p>
    <w:p w14:paraId="60722968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As East Africa looks ahead to the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Global Finals in Dubai 2026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its emerging leaders have already proven their readiness—not merely to take part, but to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shape the future of global tourism with confidence and vision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.</w:t>
      </w:r>
    </w:p>
    <w:p w14:paraId="0602CF6E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</w:p>
    <w:p w14:paraId="16AB5752">
      <w:pPr>
        <w:spacing w:after="0" w:line="360" w:lineRule="auto"/>
        <w:jc w:val="both"/>
        <w:rPr>
          <w:rFonts w:ascii="Century Gothic" w:hAnsi="Century Gothic" w:eastAsia="Times New Roman" w:cs="Times New Roman"/>
          <w:kern w:val="0"/>
          <w:szCs w:val="24"/>
          <w14:ligatures w14:val="none"/>
        </w:rPr>
      </w:pP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This landmark event was made possible through the generous support of the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Ministry of Tourism and Wildlife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Tourism Fund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Tourism Promotion Fund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 xml:space="preserve">, </w:t>
      </w:r>
      <w:r>
        <w:rPr>
          <w:rFonts w:ascii="Century Gothic" w:hAnsi="Century Gothic" w:eastAsia="Times New Roman" w:cs="Times New Roman"/>
          <w:bCs/>
          <w:kern w:val="0"/>
          <w:szCs w:val="24"/>
          <w14:ligatures w14:val="none"/>
        </w:rPr>
        <w:t>Kenya Tourism Board</w:t>
      </w:r>
      <w:r>
        <w:rPr>
          <w:rFonts w:ascii="Century Gothic" w:hAnsi="Century Gothic" w:eastAsia="Times New Roman" w:cs="Times New Roman"/>
          <w:kern w:val="0"/>
          <w:szCs w:val="24"/>
          <w14:ligatures w14:val="none"/>
        </w:rPr>
        <w:t>, and other valued partners.</w:t>
      </w:r>
    </w:p>
    <w:p w14:paraId="0529EC73">
      <w:pPr>
        <w:spacing w:after="0" w:line="360" w:lineRule="auto"/>
        <w:jc w:val="both"/>
        <w:rPr>
          <w:rFonts w:ascii="Century Gothic" w:hAnsi="Century Gothic"/>
          <w:szCs w:val="24"/>
        </w:rPr>
      </w:pPr>
    </w:p>
    <w:p w14:paraId="50A4C203">
      <w:pPr>
        <w:spacing w:after="0" w:line="360" w:lineRule="auto"/>
        <w:jc w:val="both"/>
      </w:pPr>
      <w:r>
        <w:drawing>
          <wp:inline distT="0" distB="0" distL="0" distR="0">
            <wp:extent cx="5732145" cy="3823335"/>
            <wp:effectExtent l="0" t="0" r="1905" b="5715"/>
            <wp:docPr id="8" name="Picture 8" descr="CS Rebecca Miano, EGH on X: &quot;The inaugural East Africa edition is a  powerful step forward and an opportunity to unite our region in elevating  and standardizing tourism and hospitality. As Patron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S Rebecca Miano, EGH on X: &quot;The inaugural East Africa edition is a  powerful step forward and an opportunity to unite our region in elevating  and standardizing tourism and hospitality. As Patron,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2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1B5F">
      <w:pPr>
        <w:spacing w:after="0" w:line="360" w:lineRule="auto"/>
        <w:jc w:val="both"/>
      </w:pPr>
    </w:p>
    <w:p w14:paraId="34635C39">
      <w:pPr>
        <w:spacing w:after="0" w:line="240" w:lineRule="auto"/>
        <w:jc w:val="both"/>
        <w:rPr>
          <w:rFonts w:hint="default" w:ascii="Century Gothic" w:hAnsi="Century Gothic" w:cs="Century Gothic"/>
          <w:b/>
          <w:bCs/>
          <w:color w:val="auto"/>
          <w:sz w:val="24"/>
          <w:szCs w:val="24"/>
          <w:lang w:val="en-US"/>
        </w:rPr>
      </w:pPr>
      <w:r>
        <w:rPr>
          <w:rFonts w:hint="default" w:ascii="Century Gothic" w:hAnsi="Century Gothic" w:cs="Century Gothic"/>
          <w:b/>
          <w:bCs/>
          <w:color w:val="auto"/>
          <w:sz w:val="24"/>
          <w:szCs w:val="24"/>
          <w:lang w:val="en-US"/>
        </w:rPr>
        <w:t>Contact Details</w:t>
      </w:r>
    </w:p>
    <w:p w14:paraId="61F2D80C">
      <w:pPr>
        <w:spacing w:after="0" w:line="240" w:lineRule="auto"/>
        <w:jc w:val="both"/>
        <w:rPr>
          <w:rFonts w:hint="default" w:ascii="Century Gothic" w:hAnsi="Century Gothic" w:cs="Century Gothic"/>
          <w:color w:val="auto"/>
          <w:sz w:val="24"/>
          <w:szCs w:val="24"/>
          <w:lang w:val="en-US"/>
        </w:rPr>
      </w:pPr>
      <w:r>
        <w:rPr>
          <w:rFonts w:hint="default" w:ascii="Century Gothic" w:hAnsi="Century Gothic" w:cs="Century Gothic"/>
          <w:color w:val="auto"/>
          <w:sz w:val="24"/>
          <w:szCs w:val="24"/>
          <w:lang w:val="en-US"/>
        </w:rPr>
        <w:t>Dr Esther Munyiri</w:t>
      </w:r>
    </w:p>
    <w:p w14:paraId="2BADAAFD">
      <w:pPr>
        <w:spacing w:after="0" w:line="240" w:lineRule="auto"/>
        <w:jc w:val="both"/>
        <w:rPr>
          <w:rFonts w:hint="default" w:ascii="Century Gothic" w:hAnsi="Century Gothic" w:cs="Century Gothic"/>
          <w:color w:val="auto"/>
          <w:sz w:val="24"/>
          <w:szCs w:val="24"/>
          <w:lang w:val="en-US"/>
        </w:rPr>
      </w:pPr>
      <w:r>
        <w:rPr>
          <w:rFonts w:hint="default" w:ascii="Century Gothic" w:hAnsi="Century Gothic" w:cs="Century Gothic"/>
          <w:b/>
          <w:bCs/>
          <w:color w:val="auto"/>
          <w:sz w:val="24"/>
          <w:szCs w:val="24"/>
          <w:lang w:val="en-US"/>
        </w:rPr>
        <w:t>Country Manager</w:t>
      </w:r>
      <w:r>
        <w:rPr>
          <w:rFonts w:hint="default" w:ascii="Century Gothic" w:hAnsi="Century Gothic" w:cs="Century Gothic"/>
          <w:color w:val="auto"/>
          <w:sz w:val="24"/>
          <w:szCs w:val="24"/>
          <w:lang w:val="en-US"/>
        </w:rPr>
        <w:t xml:space="preserve">, East Africa Future Leaders Challenge and </w:t>
      </w:r>
    </w:p>
    <w:p w14:paraId="0F2158B0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left"/>
        <w:rPr>
          <w:rFonts w:hint="default" w:ascii="Century Gothic" w:hAnsi="Century Gothic" w:cs="Century Gothic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Century Gothic" w:hAnsi="Century Gothic" w:eastAsia="SimSun" w:cs="Century Gothic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  <w14:ligatures w14:val="standardContextual"/>
        </w:rPr>
        <w:t>Director</w:t>
      </w:r>
      <w:r>
        <w:rPr>
          <w:rFonts w:hint="default" w:ascii="Century Gothic" w:hAnsi="Century Gothic" w:eastAsia="SimSun" w:cs="Century Gothic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  <w14:ligatures w14:val="standardContextual"/>
        </w:rPr>
        <w:t>, Global Tourism Resilience and Crisis Management Centre - Eastern Africa</w:t>
      </w:r>
    </w:p>
    <w:p w14:paraId="006437F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Century Gothic" w:hAnsi="Century Gothic" w:cs="Century Gothic"/>
          <w:color w:val="auto"/>
          <w:sz w:val="24"/>
          <w:szCs w:val="24"/>
        </w:rPr>
      </w:pPr>
      <w:r>
        <w:rPr>
          <w:rFonts w:hint="default" w:ascii="Century Gothic" w:hAnsi="Century Gothic" w:eastAsia="SimSun" w:cs="Century Gothic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  <w14:ligatures w14:val="standardContextual"/>
        </w:rPr>
        <w:t>Kenyatta University</w:t>
      </w:r>
    </w:p>
    <w:p w14:paraId="0BB6E98B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left"/>
        <w:rPr>
          <w:rFonts w:hint="default" w:ascii="Century Gothic" w:hAnsi="Century Gothic" w:cs="Century Gothic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Century Gothic" w:hAnsi="Century Gothic" w:eastAsia="SimSun" w:cs="Century Gothic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  <w14:ligatures w14:val="standardContextual"/>
        </w:rPr>
        <w:t>Phone: +254721257133</w:t>
      </w:r>
    </w:p>
    <w:p w14:paraId="4557EC8F">
      <w:pPr>
        <w:spacing w:after="0" w:line="240" w:lineRule="auto"/>
        <w:jc w:val="both"/>
        <w:rPr>
          <w:rFonts w:hint="default" w:ascii="Century Gothic" w:hAnsi="Century Gothic" w:cs="Century Gothic"/>
          <w:lang w:val="en-US"/>
        </w:rPr>
      </w:pPr>
      <w:r>
        <w:rPr>
          <w:rFonts w:hint="default" w:ascii="Century Gothic" w:hAnsi="Century Gothic" w:cs="Century Gothic"/>
          <w:lang w:val="en-US"/>
        </w:rPr>
        <w:t>Email: kagure.esther@ku.ac.ke</w:t>
      </w:r>
      <w:bookmarkStart w:id="0" w:name="_GoBack"/>
      <w:bookmarkEnd w:id="0"/>
    </w:p>
    <w:sectPr>
      <w:headerReference r:id="rId5" w:type="default"/>
      <w:footerReference r:id="rId6" w:type="default"/>
      <w:pgSz w:w="11907" w:h="16840"/>
      <w:pgMar w:top="144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4BEEC">
    <w:pPr>
      <w:pStyle w:val="8"/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1BCE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1BCE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32DD3">
    <w:pPr>
      <w:pStyle w:val="9"/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177800</wp:posOffset>
          </wp:positionH>
          <wp:positionV relativeFrom="paragraph">
            <wp:posOffset>-393700</wp:posOffset>
          </wp:positionV>
          <wp:extent cx="1308100" cy="672465"/>
          <wp:effectExtent l="0" t="0" r="6350" b="0"/>
          <wp:wrapNone/>
          <wp:docPr id="9" name="Picture 9" descr="MEA Future Leaders Challenge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MEA Future Leaders Challenge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9" t="25000" r="3334" b="27333"/>
                  <a:stretch>
                    <a:fillRect/>
                  </a:stretch>
                </pic:blipFill>
                <pic:spPr>
                  <a:xfrm>
                    <a:off x="0" y="0"/>
                    <a:ext cx="130810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1633855</wp:posOffset>
          </wp:positionH>
          <wp:positionV relativeFrom="paragraph">
            <wp:posOffset>-553085</wp:posOffset>
          </wp:positionV>
          <wp:extent cx="1137920" cy="958215"/>
          <wp:effectExtent l="0" t="0" r="5080" b="0"/>
          <wp:wrapNone/>
          <wp:docPr id="6" name="Picture 6" descr="Ministry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Ministry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7920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1916430</wp:posOffset>
          </wp:positionH>
          <wp:positionV relativeFrom="paragraph">
            <wp:posOffset>-389890</wp:posOffset>
          </wp:positionV>
          <wp:extent cx="3571875" cy="701675"/>
          <wp:effectExtent l="0" t="0" r="9525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187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5652135</wp:posOffset>
          </wp:positionH>
          <wp:positionV relativeFrom="paragraph">
            <wp:posOffset>-388620</wp:posOffset>
          </wp:positionV>
          <wp:extent cx="981075" cy="751840"/>
          <wp:effectExtent l="0" t="0" r="9525" b="0"/>
          <wp:wrapNone/>
          <wp:docPr id="4" name="Picture 4" descr="Kenyatta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enyatta University - Wikip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02A5A"/>
    <w:multiLevelType w:val="multilevel"/>
    <w:tmpl w:val="09802A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7541688"/>
    <w:multiLevelType w:val="multilevel"/>
    <w:tmpl w:val="1754168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696034"/>
    <w:multiLevelType w:val="multilevel"/>
    <w:tmpl w:val="1E69603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2705E"/>
    <w:multiLevelType w:val="multilevel"/>
    <w:tmpl w:val="2A3270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DDB4C14"/>
    <w:multiLevelType w:val="multilevel"/>
    <w:tmpl w:val="3DDB4C1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45738"/>
    <w:multiLevelType w:val="multilevel"/>
    <w:tmpl w:val="523457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CCE0637"/>
    <w:multiLevelType w:val="multilevel"/>
    <w:tmpl w:val="5CCE06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88"/>
    <w:rsid w:val="00021DD6"/>
    <w:rsid w:val="00032A55"/>
    <w:rsid w:val="00066A6C"/>
    <w:rsid w:val="00070298"/>
    <w:rsid w:val="000761CA"/>
    <w:rsid w:val="000A295E"/>
    <w:rsid w:val="000C3324"/>
    <w:rsid w:val="00165112"/>
    <w:rsid w:val="00192839"/>
    <w:rsid w:val="0019326A"/>
    <w:rsid w:val="001B024A"/>
    <w:rsid w:val="001B604B"/>
    <w:rsid w:val="00207EF2"/>
    <w:rsid w:val="002426A4"/>
    <w:rsid w:val="00297B30"/>
    <w:rsid w:val="002A527B"/>
    <w:rsid w:val="002A5F76"/>
    <w:rsid w:val="00382014"/>
    <w:rsid w:val="003B472D"/>
    <w:rsid w:val="003D0888"/>
    <w:rsid w:val="00424BC4"/>
    <w:rsid w:val="00444652"/>
    <w:rsid w:val="004544B8"/>
    <w:rsid w:val="00470D2A"/>
    <w:rsid w:val="00481517"/>
    <w:rsid w:val="004A3DE2"/>
    <w:rsid w:val="00502C4C"/>
    <w:rsid w:val="005C4646"/>
    <w:rsid w:val="005D1623"/>
    <w:rsid w:val="00677FC4"/>
    <w:rsid w:val="006D688D"/>
    <w:rsid w:val="00790D45"/>
    <w:rsid w:val="007D30B4"/>
    <w:rsid w:val="007F44A5"/>
    <w:rsid w:val="00807512"/>
    <w:rsid w:val="0085745D"/>
    <w:rsid w:val="0088155D"/>
    <w:rsid w:val="008A5485"/>
    <w:rsid w:val="00932821"/>
    <w:rsid w:val="00932E3C"/>
    <w:rsid w:val="009D5DBC"/>
    <w:rsid w:val="009D678F"/>
    <w:rsid w:val="00A41EC3"/>
    <w:rsid w:val="00AD0421"/>
    <w:rsid w:val="00BB5B15"/>
    <w:rsid w:val="00BD2F58"/>
    <w:rsid w:val="00BE01F3"/>
    <w:rsid w:val="00C7002D"/>
    <w:rsid w:val="00CC33DC"/>
    <w:rsid w:val="00CD638B"/>
    <w:rsid w:val="00CE58A5"/>
    <w:rsid w:val="00CF3711"/>
    <w:rsid w:val="00D34836"/>
    <w:rsid w:val="00D34BEF"/>
    <w:rsid w:val="00D71F6E"/>
    <w:rsid w:val="00D72D68"/>
    <w:rsid w:val="00DE3168"/>
    <w:rsid w:val="00E70D5E"/>
    <w:rsid w:val="00F40C02"/>
    <w:rsid w:val="0B4E712B"/>
    <w:rsid w:val="11D72352"/>
    <w:rsid w:val="240D4A36"/>
    <w:rsid w:val="46CD5B35"/>
    <w:rsid w:val="4C8F3727"/>
    <w:rsid w:val="54626A9D"/>
    <w:rsid w:val="58C470AF"/>
    <w:rsid w:val="619C02EC"/>
    <w:rsid w:val="6CCB534B"/>
    <w:rsid w:val="6E3A7667"/>
    <w:rsid w:val="7631190F"/>
    <w:rsid w:val="7CFB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2"/>
      <w:sz w:val="24"/>
      <w:szCs w:val="22"/>
      <w:lang w:val="en-US" w:eastAsia="en-US" w:bidi="ar-SA"/>
      <w14:ligatures w14:val="standardContextual"/>
    </w:rPr>
  </w:style>
  <w:style w:type="paragraph" w:styleId="2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3">
    <w:name w:val="heading 3"/>
    <w:basedOn w:val="1"/>
    <w:link w:val="13"/>
    <w:qFormat/>
    <w:uiPriority w:val="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14:ligatures w14:val="none"/>
    </w:rPr>
  </w:style>
  <w:style w:type="paragraph" w:styleId="4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12">
    <w:name w:val="Strong"/>
    <w:basedOn w:val="5"/>
    <w:qFormat/>
    <w:uiPriority w:val="22"/>
    <w:rPr>
      <w:b/>
      <w:bCs/>
    </w:rPr>
  </w:style>
  <w:style w:type="character" w:customStyle="1" w:styleId="13">
    <w:name w:val="Heading 3 Char"/>
    <w:basedOn w:val="5"/>
    <w:link w:val="3"/>
    <w:qFormat/>
    <w:uiPriority w:val="9"/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customStyle="1" w:styleId="14">
    <w:name w:val="Header Char"/>
    <w:basedOn w:val="5"/>
    <w:link w:val="9"/>
    <w:qFormat/>
    <w:uiPriority w:val="99"/>
  </w:style>
  <w:style w:type="character" w:customStyle="1" w:styleId="15">
    <w:name w:val="Footer Char"/>
    <w:basedOn w:val="5"/>
    <w:link w:val="8"/>
    <w:qFormat/>
    <w:uiPriority w:val="99"/>
  </w:style>
  <w:style w:type="character" w:customStyle="1" w:styleId="16">
    <w:name w:val="Heading 2 Char"/>
    <w:basedOn w:val="5"/>
    <w:link w:val="2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17">
    <w:name w:val="Heading 4 Char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1114</Words>
  <Characters>6899</Characters>
  <Lines>62</Lines>
  <Paragraphs>17</Paragraphs>
  <TotalTime>37</TotalTime>
  <ScaleCrop>false</ScaleCrop>
  <LinksUpToDate>false</LinksUpToDate>
  <CharactersWithSpaces>7944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2025-04-30T05:21:00Z</dcterms:created>
  <dc:creator>Dr Esther Munyiri</dc:creator>
  <cp:lastModifiedBy>yoga 7i</cp:lastModifiedBy>
  <cp:lastPrinted>2025-02-27T20:06:00Z</cp:lastPrinted>
  <dcterms:modified xsi:type="dcterms:W3CDTF">2025-04-30T08:33:54Z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FABCE88970C748B99D882F92A4461F83_12</vt:lpwstr>
  </property>
</Properties>
</file>